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2019年部门收支预算情况表（一）</w:t>
      </w:r>
    </w:p>
    <w:bookmarkEnd w:id="0"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填报部门：                         日期：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331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部门职责</w:t>
            </w:r>
          </w:p>
        </w:tc>
        <w:tc>
          <w:tcPr>
            <w:tcW w:w="5443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（第四轮岗位聘任确定的部门职责）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</w:t>
            </w:r>
          </w:p>
        </w:tc>
        <w:tc>
          <w:tcPr>
            <w:tcW w:w="5443" w:type="dxa"/>
            <w:gridSpan w:val="2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（在编职工、计划外用工及零星用工人数）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车辆</w:t>
            </w:r>
          </w:p>
        </w:tc>
        <w:tc>
          <w:tcPr>
            <w:tcW w:w="5443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（各类工具车数量）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tc>
          <w:tcPr>
            <w:tcW w:w="5443" w:type="dxa"/>
            <w:gridSpan w:val="2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（管理员电话部数，其它电话部数）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544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支出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rPr>
          <w:rFonts w:ascii="仿宋_GB2312" w:eastAsia="仿宋_GB2312"/>
          <w:sz w:val="15"/>
          <w:szCs w:val="15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填表人：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1.直接成本不进行预算。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2.间接成本全部进行预算，项目由各中心根据运行情况自行设定。（如管理费，计划外用工工资、计划外用工社保费、零星用工工资，维修费、培训费等等）。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收入预算，按各中心实际占用资源，全部分项预算，不得漏项。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支出预算标准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（1）管理费：公务费（指管理人员，标准4000元/年.人），固定电话费（600元/年.部）,交通费（2000元/年）。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（2）招待费：结合实际安排。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（3）其他费用有关标准：工具车费（结合实际使用情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况核定预算），公务费（管理人员之外的正式工，800元/年.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人），劳保费（200元/年.人），其它固定电话费（600元/年.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部），零星用工费（结合用工特点核定预算），其他费用及标</w:t>
      </w: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准自定。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left="960" w:hanging="960" w:hangingChars="30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C4287"/>
    <w:rsid w:val="6D535020"/>
    <w:rsid w:val="799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2018-11-08T07:25:00Z</dcterms:created>
  <dc:creator>Elegance1369187714</dc:creator>
  <cp:lastModifiedBy>Elegance1369187714</cp:lastModifiedBy>
  <dcterms:modified xsi:type="dcterms:W3CDTF">2018-11-08T07:25:44Z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